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503F0" w14:textId="77777777" w:rsidR="003B6435" w:rsidRDefault="003B6435">
      <w:pPr>
        <w:spacing w:line="360" w:lineRule="auto"/>
      </w:pPr>
    </w:p>
    <w:p w14:paraId="7264C662" w14:textId="77777777" w:rsidR="00534C83" w:rsidRDefault="00534C83" w:rsidP="00534C83">
      <w:pPr>
        <w:pStyle w:val="BodyText"/>
        <w:kinsoku w:val="0"/>
        <w:overflowPunct w:val="0"/>
        <w:rPr>
          <w:sz w:val="24"/>
          <w:szCs w:val="24"/>
        </w:rPr>
      </w:pPr>
    </w:p>
    <w:p w14:paraId="1F1B8049" w14:textId="77777777" w:rsidR="00DC2C98" w:rsidRDefault="00DC2C98" w:rsidP="00534C83">
      <w:pPr>
        <w:pStyle w:val="BodyText"/>
        <w:kinsoku w:val="0"/>
        <w:overflowPunct w:val="0"/>
        <w:rPr>
          <w:sz w:val="24"/>
          <w:szCs w:val="24"/>
        </w:rPr>
      </w:pPr>
    </w:p>
    <w:p w14:paraId="7D152C89" w14:textId="77777777" w:rsidR="007657FF" w:rsidRDefault="007657FF" w:rsidP="0090689B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305A7091" w14:textId="74D59B1B" w:rsidR="00A90535" w:rsidRDefault="00C10E03" w:rsidP="0090689B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>September 11</w:t>
      </w:r>
      <w:r w:rsidR="00A90535">
        <w:rPr>
          <w:rFonts w:ascii="Times New Roman" w:eastAsiaTheme="minorEastAsia" w:hAnsi="Times New Roman"/>
          <w:sz w:val="28"/>
          <w:szCs w:val="28"/>
          <w:lang w:eastAsia="en-US"/>
        </w:rPr>
        <w:t>, 2023</w:t>
      </w:r>
    </w:p>
    <w:p w14:paraId="189D3AA1" w14:textId="5B2F12CC" w:rsidR="00A90535" w:rsidRDefault="00A90535" w:rsidP="0090689B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37F0F6B3" w14:textId="3234FBA8" w:rsidR="00AD7C9F" w:rsidRDefault="00AD7C9F" w:rsidP="0090689B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35A73293" w14:textId="77777777" w:rsidR="00AD7C9F" w:rsidRDefault="00AD7C9F" w:rsidP="0090689B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62DEDEB2" w14:textId="77777777" w:rsidR="0000197F" w:rsidRDefault="0000197F" w:rsidP="0090689B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1B1232F3" w14:textId="56F512DD" w:rsidR="00A90535" w:rsidRDefault="00AB617E" w:rsidP="0090689B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>To:</w:t>
      </w:r>
      <w:r>
        <w:rPr>
          <w:rFonts w:ascii="Times New Roman" w:eastAsiaTheme="minorEastAsia" w:hAnsi="Times New Roman"/>
          <w:sz w:val="28"/>
          <w:szCs w:val="28"/>
          <w:lang w:eastAsia="en-US"/>
        </w:rPr>
        <w:tab/>
      </w:r>
      <w:r>
        <w:rPr>
          <w:rFonts w:ascii="Times New Roman" w:eastAsiaTheme="minorEastAsia" w:hAnsi="Times New Roman"/>
          <w:sz w:val="28"/>
          <w:szCs w:val="28"/>
          <w:lang w:eastAsia="en-US"/>
        </w:rPr>
        <w:tab/>
        <w:t>Bishop Mark Tolbert, Chairman BOE</w:t>
      </w:r>
    </w:p>
    <w:p w14:paraId="12E19B87" w14:textId="7438D1ED" w:rsidR="005D1A0F" w:rsidRDefault="005D1A0F" w:rsidP="0090689B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ab/>
      </w:r>
      <w:r>
        <w:rPr>
          <w:rFonts w:ascii="Times New Roman" w:eastAsiaTheme="minorEastAsia" w:hAnsi="Times New Roman"/>
          <w:sz w:val="28"/>
          <w:szCs w:val="28"/>
          <w:lang w:eastAsia="en-US"/>
        </w:rPr>
        <w:tab/>
      </w:r>
      <w:r>
        <w:rPr>
          <w:rFonts w:ascii="Times New Roman" w:eastAsiaTheme="minorEastAsia" w:hAnsi="Times New Roman"/>
          <w:sz w:val="28"/>
          <w:szCs w:val="28"/>
          <w:lang w:eastAsia="en-US"/>
        </w:rPr>
        <w:tab/>
        <w:t>LATCA Board of Education</w:t>
      </w:r>
    </w:p>
    <w:p w14:paraId="2439576A" w14:textId="03873C7A" w:rsidR="00AB617E" w:rsidRDefault="00C10E03" w:rsidP="0090689B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ab/>
      </w:r>
      <w:r>
        <w:rPr>
          <w:rFonts w:ascii="Times New Roman" w:eastAsiaTheme="minorEastAsia" w:hAnsi="Times New Roman"/>
          <w:sz w:val="28"/>
          <w:szCs w:val="28"/>
          <w:lang w:eastAsia="en-US"/>
        </w:rPr>
        <w:tab/>
      </w:r>
      <w:r>
        <w:rPr>
          <w:rFonts w:ascii="Times New Roman" w:eastAsiaTheme="minorEastAsia" w:hAnsi="Times New Roman"/>
          <w:sz w:val="28"/>
          <w:szCs w:val="28"/>
          <w:lang w:eastAsia="en-US"/>
        </w:rPr>
        <w:tab/>
      </w:r>
    </w:p>
    <w:p w14:paraId="46DB4DC2" w14:textId="77777777" w:rsidR="00AB617E" w:rsidRDefault="00AB617E" w:rsidP="0090689B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6642D38E" w14:textId="77777777" w:rsidR="00AB617E" w:rsidRDefault="00AB617E" w:rsidP="0090689B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>From:</w:t>
      </w:r>
      <w:r>
        <w:rPr>
          <w:rFonts w:ascii="Times New Roman" w:eastAsiaTheme="minorEastAsia" w:hAnsi="Times New Roman"/>
          <w:sz w:val="28"/>
          <w:szCs w:val="28"/>
          <w:lang w:eastAsia="en-US"/>
        </w:rPr>
        <w:tab/>
      </w:r>
      <w:r>
        <w:rPr>
          <w:rFonts w:ascii="Times New Roman" w:eastAsiaTheme="minorEastAsia" w:hAnsi="Times New Roman"/>
          <w:sz w:val="28"/>
          <w:szCs w:val="28"/>
          <w:lang w:eastAsia="en-US"/>
        </w:rPr>
        <w:tab/>
        <w:t>Dr. Donnie Mitchell, Superintendent</w:t>
      </w:r>
    </w:p>
    <w:p w14:paraId="2CBAE4C0" w14:textId="77777777" w:rsidR="00AB617E" w:rsidRDefault="00AB617E" w:rsidP="0090689B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56963D82" w14:textId="669E50D4" w:rsidR="00AD7C9F" w:rsidRDefault="00C10E03" w:rsidP="005D1A0F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>Re</w:t>
      </w:r>
      <w:r w:rsidR="004825CD">
        <w:rPr>
          <w:rFonts w:ascii="Times New Roman" w:eastAsiaTheme="minorEastAsia" w:hAnsi="Times New Roman"/>
          <w:sz w:val="28"/>
          <w:szCs w:val="28"/>
          <w:lang w:eastAsia="en-US"/>
        </w:rPr>
        <w:t>:</w:t>
      </w:r>
      <w:r w:rsidR="004825CD">
        <w:rPr>
          <w:rFonts w:ascii="Times New Roman" w:eastAsiaTheme="minorEastAsia" w:hAnsi="Times New Roman"/>
          <w:sz w:val="28"/>
          <w:szCs w:val="28"/>
          <w:lang w:eastAsia="en-US"/>
        </w:rPr>
        <w:tab/>
      </w:r>
      <w:r w:rsidR="004825CD">
        <w:rPr>
          <w:rFonts w:ascii="Times New Roman" w:eastAsiaTheme="minorEastAsia" w:hAnsi="Times New Roman"/>
          <w:sz w:val="28"/>
          <w:szCs w:val="28"/>
          <w:lang w:eastAsia="en-US"/>
        </w:rPr>
        <w:tab/>
        <w:t>Board of Education Contribution Increase of employee health insurance</w:t>
      </w:r>
    </w:p>
    <w:p w14:paraId="628FBEF7" w14:textId="3F9DF46E" w:rsidR="004825CD" w:rsidRDefault="004825CD" w:rsidP="005D1A0F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29B6EC9D" w14:textId="69A015E7" w:rsidR="004825CD" w:rsidRDefault="004825CD" w:rsidP="005D1A0F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3D753B13" w14:textId="68B00D3C" w:rsidR="004825CD" w:rsidRDefault="004825CD" w:rsidP="005D1A0F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>We are requesting the BOE approve 50% across the board coverage of insurance for each employee that participates in the health insurance program.  We feel that this represents a fair across the board solution to rising insurance premiums.  We feel this will also help us in recruiting highly qualified and certified teaching staff.</w:t>
      </w:r>
    </w:p>
    <w:p w14:paraId="44F8ADA2" w14:textId="1329FCD7" w:rsidR="004825CD" w:rsidRDefault="004825CD" w:rsidP="005D1A0F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4CD5878A" w14:textId="30ADD32B" w:rsidR="004825CD" w:rsidRDefault="004825CD" w:rsidP="005D1A0F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>The insurance team consisted of representation of each grade level, certified and classified staff, support staff, leadership team, and district office team.</w:t>
      </w:r>
      <w:r w:rsidR="00F277BC">
        <w:rPr>
          <w:rFonts w:ascii="Times New Roman" w:eastAsiaTheme="minorEastAsia" w:hAnsi="Times New Roman"/>
          <w:sz w:val="28"/>
          <w:szCs w:val="28"/>
          <w:lang w:eastAsia="en-US"/>
        </w:rPr>
        <w:t xml:space="preserve">  The team has reviewed all of the plans and this proposal, hence the recommendation.  </w:t>
      </w:r>
    </w:p>
    <w:p w14:paraId="7B07CB45" w14:textId="750E04A8" w:rsidR="00F277BC" w:rsidRDefault="00F277BC" w:rsidP="005D1A0F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35D5A521" w14:textId="45892C03" w:rsidR="00F277BC" w:rsidRDefault="00F277BC" w:rsidP="005D1A0F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>Cost breakdown:  As said in the last BOE meeting, there is cost savings associated with the 50% for all employees plan…</w:t>
      </w:r>
    </w:p>
    <w:p w14:paraId="3A6A43FC" w14:textId="19BEECAC" w:rsidR="00F277BC" w:rsidRDefault="00F277BC" w:rsidP="005D1A0F">
      <w:pPr>
        <w:pStyle w:val="PAParaText"/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4C8A38F5" w14:textId="48DD319A" w:rsidR="00F277BC" w:rsidRDefault="001960E2" w:rsidP="00F277BC">
      <w:pPr>
        <w:pStyle w:val="PAParaText"/>
        <w:numPr>
          <w:ilvl w:val="0"/>
          <w:numId w:val="34"/>
        </w:numPr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>With the AETNA plan, the BOE contribution per year with the CURRENT structure ($500 per month contribution per employee) cost would be: $276,000.</w:t>
      </w:r>
    </w:p>
    <w:p w14:paraId="68C4AC19" w14:textId="3FBDE7AC" w:rsidR="001960E2" w:rsidRDefault="001960E2" w:rsidP="00F277BC">
      <w:pPr>
        <w:pStyle w:val="PAParaText"/>
        <w:numPr>
          <w:ilvl w:val="0"/>
          <w:numId w:val="34"/>
        </w:numPr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>With the AETNA plan, the BOE contribution per year with the PROPOSED structure of (50% across the board for all employees) cost would be: $197,413.85</w:t>
      </w:r>
    </w:p>
    <w:p w14:paraId="736D8E05" w14:textId="26E05FEA" w:rsidR="001960E2" w:rsidRDefault="001960E2" w:rsidP="00F277BC">
      <w:pPr>
        <w:pStyle w:val="PAParaText"/>
        <w:numPr>
          <w:ilvl w:val="0"/>
          <w:numId w:val="34"/>
        </w:numPr>
        <w:tabs>
          <w:tab w:val="left" w:pos="360"/>
        </w:tabs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>Currently, the BOE spends $276,000 per year for employee ensurabve.</w:t>
      </w:r>
      <w:bookmarkStart w:id="0" w:name="_GoBack"/>
      <w:bookmarkEnd w:id="0"/>
    </w:p>
    <w:sectPr w:rsidR="001960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5C218" w14:textId="77777777" w:rsidR="008D0CD6" w:rsidRDefault="008D0CD6">
      <w:pPr>
        <w:spacing w:line="240" w:lineRule="auto"/>
      </w:pPr>
      <w:r>
        <w:separator/>
      </w:r>
    </w:p>
  </w:endnote>
  <w:endnote w:type="continuationSeparator" w:id="0">
    <w:p w14:paraId="3417CF05" w14:textId="77777777" w:rsidR="008D0CD6" w:rsidRDefault="008D0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27BAA" w14:textId="77777777" w:rsidR="008722AD" w:rsidRDefault="008722AD">
    <w:pPr>
      <w:jc w:val="center"/>
    </w:pPr>
    <w:r>
      <w:t xml:space="preserve">3400 Paseo Boulevard * Kansas City, Missouri * 64109 </w:t>
    </w:r>
  </w:p>
  <w:p w14:paraId="53FF0AD7" w14:textId="77777777" w:rsidR="008722AD" w:rsidRDefault="008722AD">
    <w:pPr>
      <w:jc w:val="center"/>
    </w:pPr>
    <w:r>
      <w:t xml:space="preserve">P: (816) 561-0114 * F: (816) 561-1015 * </w:t>
    </w:r>
    <w:hyperlink r:id="rId1">
      <w:r>
        <w:rPr>
          <w:color w:val="1155CC"/>
          <w:u w:val="single"/>
        </w:rPr>
        <w:t>https://tolbertacademy.org/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AC562" w14:textId="77777777" w:rsidR="008D0CD6" w:rsidRDefault="008D0CD6">
      <w:pPr>
        <w:spacing w:line="240" w:lineRule="auto"/>
      </w:pPr>
      <w:r>
        <w:separator/>
      </w:r>
    </w:p>
  </w:footnote>
  <w:footnote w:type="continuationSeparator" w:id="0">
    <w:p w14:paraId="69F38AC6" w14:textId="77777777" w:rsidR="008D0CD6" w:rsidRDefault="008D0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984DE" w14:textId="77777777" w:rsidR="008722AD" w:rsidRDefault="008722AD">
    <w:r>
      <w:rPr>
        <w:noProof/>
        <w:lang w:val="en-US"/>
      </w:rPr>
      <w:drawing>
        <wp:anchor distT="57150" distB="57150" distL="57150" distR="57150" simplePos="0" relativeHeight="251658240" behindDoc="0" locked="0" layoutInCell="1" hidden="0" allowOverlap="1" wp14:anchorId="6F1546F7" wp14:editId="1E506712">
          <wp:simplePos x="0" y="0"/>
          <wp:positionH relativeFrom="column">
            <wp:posOffset>742950</wp:posOffset>
          </wp:positionH>
          <wp:positionV relativeFrom="paragraph">
            <wp:posOffset>57150</wp:posOffset>
          </wp:positionV>
          <wp:extent cx="4533900" cy="814388"/>
          <wp:effectExtent l="0" t="0" r="0" b="0"/>
          <wp:wrapSquare wrapText="bothSides" distT="57150" distB="57150" distL="57150" distR="57150"/>
          <wp:docPr id="1" name="image1.jpg" descr="C:\Users\LAB   - 1 - EFG\Desktop\LeeTolbert_980_hd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B   - 1 - EFG\Desktop\LeeTolbert_980_hd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3390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231"/>
    <w:multiLevelType w:val="multilevel"/>
    <w:tmpl w:val="9004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1118B"/>
    <w:multiLevelType w:val="hybridMultilevel"/>
    <w:tmpl w:val="AD2C0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4E50"/>
    <w:multiLevelType w:val="multilevel"/>
    <w:tmpl w:val="4C84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F7692"/>
    <w:multiLevelType w:val="hybridMultilevel"/>
    <w:tmpl w:val="85C4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2F3A"/>
    <w:multiLevelType w:val="hybridMultilevel"/>
    <w:tmpl w:val="9E90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58C3"/>
    <w:multiLevelType w:val="hybridMultilevel"/>
    <w:tmpl w:val="010A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267F6"/>
    <w:multiLevelType w:val="hybridMultilevel"/>
    <w:tmpl w:val="176A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54C77"/>
    <w:multiLevelType w:val="hybridMultilevel"/>
    <w:tmpl w:val="47B6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E5FAF"/>
    <w:multiLevelType w:val="hybridMultilevel"/>
    <w:tmpl w:val="1926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0794E"/>
    <w:multiLevelType w:val="multilevel"/>
    <w:tmpl w:val="0218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5178E"/>
    <w:multiLevelType w:val="hybridMultilevel"/>
    <w:tmpl w:val="7D8E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02FC"/>
    <w:multiLevelType w:val="hybridMultilevel"/>
    <w:tmpl w:val="8E88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8559D"/>
    <w:multiLevelType w:val="multilevel"/>
    <w:tmpl w:val="0409001D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CA3ACF"/>
    <w:multiLevelType w:val="hybridMultilevel"/>
    <w:tmpl w:val="BE72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67C37"/>
    <w:multiLevelType w:val="hybridMultilevel"/>
    <w:tmpl w:val="6060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C72B4"/>
    <w:multiLevelType w:val="multilevel"/>
    <w:tmpl w:val="634A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BB1821"/>
    <w:multiLevelType w:val="hybridMultilevel"/>
    <w:tmpl w:val="FE16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273A5"/>
    <w:multiLevelType w:val="hybridMultilevel"/>
    <w:tmpl w:val="00BE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E307B"/>
    <w:multiLevelType w:val="hybridMultilevel"/>
    <w:tmpl w:val="5830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6403C"/>
    <w:multiLevelType w:val="hybridMultilevel"/>
    <w:tmpl w:val="5756F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743B9"/>
    <w:multiLevelType w:val="hybridMultilevel"/>
    <w:tmpl w:val="A96C1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D569E"/>
    <w:multiLevelType w:val="multilevel"/>
    <w:tmpl w:val="4E184E26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D36633"/>
    <w:multiLevelType w:val="hybridMultilevel"/>
    <w:tmpl w:val="436C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2427A"/>
    <w:multiLevelType w:val="hybridMultilevel"/>
    <w:tmpl w:val="A404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3"/>
  </w:num>
  <w:num w:numId="4">
    <w:abstractNumId w:val="1"/>
  </w:num>
  <w:num w:numId="5">
    <w:abstractNumId w:val="14"/>
  </w:num>
  <w:num w:numId="6">
    <w:abstractNumId w:val="18"/>
  </w:num>
  <w:num w:numId="7">
    <w:abstractNumId w:val="3"/>
  </w:num>
  <w:num w:numId="8">
    <w:abstractNumId w:val="19"/>
  </w:num>
  <w:num w:numId="9">
    <w:abstractNumId w:val="12"/>
  </w:num>
  <w:num w:numId="10">
    <w:abstractNumId w:val="1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1">
    <w:abstractNumId w:val="1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2">
    <w:abstractNumId w:val="1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3">
    <w:abstractNumId w:val="1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>
    <w:abstractNumId w:val="1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5">
    <w:abstractNumId w:val="1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1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7">
    <w:abstractNumId w:val="1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8">
    <w:abstractNumId w:val="1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>
    <w:abstractNumId w:val="1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0">
    <w:abstractNumId w:val="21"/>
  </w:num>
  <w:num w:numId="21">
    <w:abstractNumId w:val="10"/>
  </w:num>
  <w:num w:numId="22">
    <w:abstractNumId w:val="2"/>
  </w:num>
  <w:num w:numId="23">
    <w:abstractNumId w:val="0"/>
  </w:num>
  <w:num w:numId="24">
    <w:abstractNumId w:val="15"/>
  </w:num>
  <w:num w:numId="25">
    <w:abstractNumId w:val="9"/>
  </w:num>
  <w:num w:numId="26">
    <w:abstractNumId w:val="8"/>
  </w:num>
  <w:num w:numId="27">
    <w:abstractNumId w:val="5"/>
  </w:num>
  <w:num w:numId="28">
    <w:abstractNumId w:val="11"/>
  </w:num>
  <w:num w:numId="29">
    <w:abstractNumId w:val="4"/>
  </w:num>
  <w:num w:numId="30">
    <w:abstractNumId w:val="16"/>
  </w:num>
  <w:num w:numId="31">
    <w:abstractNumId w:val="17"/>
  </w:num>
  <w:num w:numId="32">
    <w:abstractNumId w:val="22"/>
  </w:num>
  <w:num w:numId="33">
    <w:abstractNumId w:val="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35"/>
    <w:rsid w:val="0000197F"/>
    <w:rsid w:val="00016FBB"/>
    <w:rsid w:val="00032605"/>
    <w:rsid w:val="00062600"/>
    <w:rsid w:val="0007442A"/>
    <w:rsid w:val="000764EF"/>
    <w:rsid w:val="000C26CC"/>
    <w:rsid w:val="000D306E"/>
    <w:rsid w:val="000E5AAC"/>
    <w:rsid w:val="00107E07"/>
    <w:rsid w:val="001157D4"/>
    <w:rsid w:val="00115F35"/>
    <w:rsid w:val="001264EB"/>
    <w:rsid w:val="0013140C"/>
    <w:rsid w:val="00153B94"/>
    <w:rsid w:val="00164E34"/>
    <w:rsid w:val="00174C2D"/>
    <w:rsid w:val="00184D65"/>
    <w:rsid w:val="00187372"/>
    <w:rsid w:val="0019103A"/>
    <w:rsid w:val="001960E2"/>
    <w:rsid w:val="001976B2"/>
    <w:rsid w:val="001A02EC"/>
    <w:rsid w:val="001A3F10"/>
    <w:rsid w:val="001C3B33"/>
    <w:rsid w:val="001F34E9"/>
    <w:rsid w:val="002123AA"/>
    <w:rsid w:val="00214B21"/>
    <w:rsid w:val="00217A17"/>
    <w:rsid w:val="0022020A"/>
    <w:rsid w:val="00251A57"/>
    <w:rsid w:val="002576FE"/>
    <w:rsid w:val="00257D32"/>
    <w:rsid w:val="00270E93"/>
    <w:rsid w:val="00284719"/>
    <w:rsid w:val="00284BC6"/>
    <w:rsid w:val="002A4D15"/>
    <w:rsid w:val="002B0DA1"/>
    <w:rsid w:val="002E12F2"/>
    <w:rsid w:val="002E4D6C"/>
    <w:rsid w:val="002F710C"/>
    <w:rsid w:val="003055CB"/>
    <w:rsid w:val="00312D27"/>
    <w:rsid w:val="003175BE"/>
    <w:rsid w:val="003308C4"/>
    <w:rsid w:val="003574B9"/>
    <w:rsid w:val="00373C81"/>
    <w:rsid w:val="003A4511"/>
    <w:rsid w:val="003B6435"/>
    <w:rsid w:val="003E38FB"/>
    <w:rsid w:val="00452E3A"/>
    <w:rsid w:val="00463E2A"/>
    <w:rsid w:val="004825CD"/>
    <w:rsid w:val="00483DD0"/>
    <w:rsid w:val="004A538D"/>
    <w:rsid w:val="004B6E5C"/>
    <w:rsid w:val="004C7963"/>
    <w:rsid w:val="004D56AF"/>
    <w:rsid w:val="00507D62"/>
    <w:rsid w:val="00524AA5"/>
    <w:rsid w:val="00527738"/>
    <w:rsid w:val="00534C83"/>
    <w:rsid w:val="005532A0"/>
    <w:rsid w:val="0056029D"/>
    <w:rsid w:val="00562197"/>
    <w:rsid w:val="0057733C"/>
    <w:rsid w:val="0058239C"/>
    <w:rsid w:val="0058312C"/>
    <w:rsid w:val="005953B7"/>
    <w:rsid w:val="005B3430"/>
    <w:rsid w:val="005D1A0F"/>
    <w:rsid w:val="005D5552"/>
    <w:rsid w:val="005D57EF"/>
    <w:rsid w:val="005E00E5"/>
    <w:rsid w:val="005E4675"/>
    <w:rsid w:val="006050D4"/>
    <w:rsid w:val="006466F9"/>
    <w:rsid w:val="00651817"/>
    <w:rsid w:val="0066097C"/>
    <w:rsid w:val="006927D9"/>
    <w:rsid w:val="006B7692"/>
    <w:rsid w:val="006C74C0"/>
    <w:rsid w:val="006D6226"/>
    <w:rsid w:val="006D7D52"/>
    <w:rsid w:val="006D7DAB"/>
    <w:rsid w:val="006E7E1E"/>
    <w:rsid w:val="006F6CE9"/>
    <w:rsid w:val="00711E91"/>
    <w:rsid w:val="007238D6"/>
    <w:rsid w:val="00733C63"/>
    <w:rsid w:val="007448C1"/>
    <w:rsid w:val="007542B5"/>
    <w:rsid w:val="0076413D"/>
    <w:rsid w:val="007657FF"/>
    <w:rsid w:val="00776C4B"/>
    <w:rsid w:val="00797312"/>
    <w:rsid w:val="007A355B"/>
    <w:rsid w:val="007A4AC0"/>
    <w:rsid w:val="007B1B28"/>
    <w:rsid w:val="007C0F5B"/>
    <w:rsid w:val="00802446"/>
    <w:rsid w:val="00802EA1"/>
    <w:rsid w:val="00823C5F"/>
    <w:rsid w:val="00837F60"/>
    <w:rsid w:val="008535F0"/>
    <w:rsid w:val="00855A10"/>
    <w:rsid w:val="00860907"/>
    <w:rsid w:val="00862BFC"/>
    <w:rsid w:val="008722AD"/>
    <w:rsid w:val="00884949"/>
    <w:rsid w:val="00893978"/>
    <w:rsid w:val="008D0CD6"/>
    <w:rsid w:val="008E2E0F"/>
    <w:rsid w:val="008E5169"/>
    <w:rsid w:val="008F0799"/>
    <w:rsid w:val="008F5392"/>
    <w:rsid w:val="0090561B"/>
    <w:rsid w:val="0090689B"/>
    <w:rsid w:val="0091008D"/>
    <w:rsid w:val="0091224A"/>
    <w:rsid w:val="0099447E"/>
    <w:rsid w:val="009A095E"/>
    <w:rsid w:val="009A29C7"/>
    <w:rsid w:val="009A4599"/>
    <w:rsid w:val="009A766D"/>
    <w:rsid w:val="009B3770"/>
    <w:rsid w:val="009B521A"/>
    <w:rsid w:val="009C4F40"/>
    <w:rsid w:val="009F0B0D"/>
    <w:rsid w:val="009F2BA6"/>
    <w:rsid w:val="009F6FED"/>
    <w:rsid w:val="009F7AB0"/>
    <w:rsid w:val="00A00DB3"/>
    <w:rsid w:val="00A03752"/>
    <w:rsid w:val="00A03F94"/>
    <w:rsid w:val="00A63F70"/>
    <w:rsid w:val="00A8355C"/>
    <w:rsid w:val="00A90535"/>
    <w:rsid w:val="00AA5C0B"/>
    <w:rsid w:val="00AB5964"/>
    <w:rsid w:val="00AB617E"/>
    <w:rsid w:val="00AC3400"/>
    <w:rsid w:val="00AD7C9F"/>
    <w:rsid w:val="00AF360D"/>
    <w:rsid w:val="00B15165"/>
    <w:rsid w:val="00B17FC9"/>
    <w:rsid w:val="00B26A98"/>
    <w:rsid w:val="00B27DE2"/>
    <w:rsid w:val="00B34575"/>
    <w:rsid w:val="00B35C2D"/>
    <w:rsid w:val="00B42FD7"/>
    <w:rsid w:val="00B4342F"/>
    <w:rsid w:val="00B769CE"/>
    <w:rsid w:val="00B9630A"/>
    <w:rsid w:val="00BB54FC"/>
    <w:rsid w:val="00BE1E1B"/>
    <w:rsid w:val="00BE4A9E"/>
    <w:rsid w:val="00BE5092"/>
    <w:rsid w:val="00BF4085"/>
    <w:rsid w:val="00C10E03"/>
    <w:rsid w:val="00C1241C"/>
    <w:rsid w:val="00C23DDB"/>
    <w:rsid w:val="00C33140"/>
    <w:rsid w:val="00C35624"/>
    <w:rsid w:val="00C416E3"/>
    <w:rsid w:val="00C44D15"/>
    <w:rsid w:val="00C8318D"/>
    <w:rsid w:val="00C8774F"/>
    <w:rsid w:val="00C923A6"/>
    <w:rsid w:val="00CB5C7E"/>
    <w:rsid w:val="00CB5D85"/>
    <w:rsid w:val="00CF7C8C"/>
    <w:rsid w:val="00D0201D"/>
    <w:rsid w:val="00D0682B"/>
    <w:rsid w:val="00D366AF"/>
    <w:rsid w:val="00D40660"/>
    <w:rsid w:val="00D42360"/>
    <w:rsid w:val="00D42D44"/>
    <w:rsid w:val="00D61972"/>
    <w:rsid w:val="00D64EF2"/>
    <w:rsid w:val="00D77FAE"/>
    <w:rsid w:val="00D81D30"/>
    <w:rsid w:val="00D86CE8"/>
    <w:rsid w:val="00DA091D"/>
    <w:rsid w:val="00DA1F5C"/>
    <w:rsid w:val="00DA512B"/>
    <w:rsid w:val="00DB0993"/>
    <w:rsid w:val="00DC2C98"/>
    <w:rsid w:val="00DE3AB1"/>
    <w:rsid w:val="00DE6552"/>
    <w:rsid w:val="00E2074B"/>
    <w:rsid w:val="00E5046E"/>
    <w:rsid w:val="00E64DDA"/>
    <w:rsid w:val="00E70070"/>
    <w:rsid w:val="00E84658"/>
    <w:rsid w:val="00E903A1"/>
    <w:rsid w:val="00E944D9"/>
    <w:rsid w:val="00EA3951"/>
    <w:rsid w:val="00EA44BB"/>
    <w:rsid w:val="00EA4FFD"/>
    <w:rsid w:val="00EA69BF"/>
    <w:rsid w:val="00EB0E79"/>
    <w:rsid w:val="00ED1736"/>
    <w:rsid w:val="00EF08C4"/>
    <w:rsid w:val="00EF1BDF"/>
    <w:rsid w:val="00F0599F"/>
    <w:rsid w:val="00F169A4"/>
    <w:rsid w:val="00F1765A"/>
    <w:rsid w:val="00F25742"/>
    <w:rsid w:val="00F277BC"/>
    <w:rsid w:val="00F37A30"/>
    <w:rsid w:val="00F75120"/>
    <w:rsid w:val="00F77A5C"/>
    <w:rsid w:val="00F80359"/>
    <w:rsid w:val="00F84C91"/>
    <w:rsid w:val="00F95383"/>
    <w:rsid w:val="00FA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03A1F"/>
  <w15:docId w15:val="{6C662371-C1F3-4A5C-B961-5D28F529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6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6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744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3457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34575"/>
    <w:rPr>
      <w:rFonts w:ascii="Times New Roman" w:eastAsiaTheme="minorEastAsia" w:hAnsi="Times New Roman" w:cs="Times New Roman"/>
      <w:lang w:val="en-US"/>
    </w:rPr>
  </w:style>
  <w:style w:type="paragraph" w:customStyle="1" w:styleId="PAParaText">
    <w:name w:val="PA_ParaText"/>
    <w:basedOn w:val="Normal"/>
    <w:rsid w:val="008F5392"/>
    <w:pPr>
      <w:spacing w:after="120" w:line="240" w:lineRule="auto"/>
      <w:jc w:val="both"/>
    </w:pPr>
    <w:rPr>
      <w:rFonts w:eastAsia="SimSun" w:cs="Times New Roman"/>
      <w:sz w:val="20"/>
      <w:szCs w:val="20"/>
      <w:lang w:val="en-US" w:eastAsia="zh-CN"/>
    </w:rPr>
  </w:style>
  <w:style w:type="paragraph" w:customStyle="1" w:styleId="PACellText">
    <w:name w:val="PA_CellText"/>
    <w:basedOn w:val="PAParaText"/>
    <w:rsid w:val="008F5392"/>
    <w:pPr>
      <w:spacing w:after="0"/>
      <w:jc w:val="left"/>
    </w:pPr>
  </w:style>
  <w:style w:type="character" w:styleId="EndnoteReference">
    <w:name w:val="endnote reference"/>
    <w:basedOn w:val="DefaultParagraphFont"/>
    <w:uiPriority w:val="99"/>
    <w:semiHidden/>
    <w:unhideWhenUsed/>
    <w:rsid w:val="008F539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0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F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F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F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olbertacademy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Carnest Mitchell</dc:creator>
  <cp:keywords/>
  <dc:description/>
  <cp:lastModifiedBy>Carnest Mitchell</cp:lastModifiedBy>
  <cp:revision>16</cp:revision>
  <cp:lastPrinted>2023-09-11T19:07:00Z</cp:lastPrinted>
  <dcterms:created xsi:type="dcterms:W3CDTF">2023-02-02T16:58:00Z</dcterms:created>
  <dcterms:modified xsi:type="dcterms:W3CDTF">2023-09-18T16:48:00Z</dcterms:modified>
</cp:coreProperties>
</file>